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AF" w:rsidRDefault="00CF5DAF" w:rsidP="00BD002B">
      <w:pPr>
        <w:jc w:val="center"/>
        <w:rPr>
          <w:rFonts w:ascii="Times New Roman" w:hAnsi="Times New Roman"/>
          <w:b/>
          <w:color w:val="0000CC"/>
          <w:sz w:val="32"/>
          <w:szCs w:val="24"/>
          <w:lang w:val="en-GB"/>
        </w:rPr>
      </w:pPr>
      <w:r>
        <w:rPr>
          <w:rFonts w:ascii="Times New Roman" w:hAnsi="Times New Roman"/>
          <w:b/>
          <w:color w:val="0000CC"/>
          <w:sz w:val="32"/>
          <w:szCs w:val="24"/>
          <w:lang w:val="en-GB"/>
        </w:rPr>
        <w:t>Course Syllabus</w:t>
      </w:r>
    </w:p>
    <w:p w:rsidR="00CF5DAF" w:rsidRDefault="00CF5DAF" w:rsidP="00BD002B">
      <w:pPr>
        <w:spacing w:line="276" w:lineRule="auto"/>
        <w:jc w:val="center"/>
        <w:rPr>
          <w:rFonts w:ascii="Times New Roman" w:hAnsi="Times New Roman"/>
          <w:i/>
          <w:caps/>
          <w:sz w:val="24"/>
          <w:szCs w:val="24"/>
          <w:lang w:val="en-GB"/>
        </w:rPr>
      </w:pPr>
      <w:r>
        <w:rPr>
          <w:rFonts w:ascii="Times New Roman" w:hAnsi="Times New Roman"/>
          <w:bCs/>
          <w:sz w:val="24"/>
          <w:szCs w:val="24"/>
          <w:lang w:val="en-GB"/>
        </w:rPr>
        <w:t>Academic year: 2018-2019</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9"/>
        <w:gridCol w:w="6246"/>
      </w:tblGrid>
      <w:tr w:rsidR="00CF5DAF" w:rsidRPr="00333BFC" w:rsidTr="00194CE6">
        <w:trPr>
          <w:trHeight w:val="340"/>
          <w:jc w:val="center"/>
        </w:trPr>
        <w:tc>
          <w:tcPr>
            <w:tcW w:w="2679"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Institution</w:t>
            </w:r>
          </w:p>
        </w:tc>
        <w:tc>
          <w:tcPr>
            <w:tcW w:w="6246" w:type="dxa"/>
            <w:vAlign w:val="center"/>
          </w:tcPr>
          <w:p w:rsidR="00CF5DAF" w:rsidRPr="00333BFC" w:rsidRDefault="00CF5DAF">
            <w:pPr>
              <w:rPr>
                <w:rFonts w:ascii="Times New Roman" w:hAnsi="Times New Roman"/>
                <w:sz w:val="24"/>
                <w:szCs w:val="24"/>
                <w:lang w:val="en-GB"/>
              </w:rPr>
            </w:pPr>
            <w:smartTag w:uri="urn:schemas-microsoft-com:office:smarttags" w:element="place">
              <w:smartTag w:uri="urn:schemas-microsoft-com:office:smarttags" w:element="PlaceType">
                <w:r w:rsidRPr="00333BFC">
                  <w:rPr>
                    <w:rFonts w:ascii="Times New Roman" w:hAnsi="Times New Roman"/>
                    <w:sz w:val="24"/>
                    <w:szCs w:val="24"/>
                    <w:lang w:val="en-GB"/>
                  </w:rPr>
                  <w:t>University</w:t>
                </w:r>
              </w:smartTag>
              <w:r w:rsidRPr="00333BFC">
                <w:rPr>
                  <w:rFonts w:ascii="Times New Roman" w:hAnsi="Times New Roman"/>
                  <w:sz w:val="24"/>
                  <w:szCs w:val="24"/>
                  <w:lang w:val="en-GB"/>
                </w:rPr>
                <w:t xml:space="preserve"> of </w:t>
              </w:r>
              <w:smartTag w:uri="urn:schemas-microsoft-com:office:smarttags" w:element="place">
                <w:r w:rsidRPr="00333BFC">
                  <w:rPr>
                    <w:rFonts w:ascii="Times New Roman" w:hAnsi="Times New Roman"/>
                    <w:sz w:val="24"/>
                    <w:szCs w:val="24"/>
                    <w:lang w:val="en-GB"/>
                  </w:rPr>
                  <w:t>Petroşani</w:t>
                </w:r>
              </w:smartTag>
            </w:smartTag>
          </w:p>
        </w:tc>
      </w:tr>
      <w:tr w:rsidR="00CF5DAF" w:rsidRPr="00333BFC" w:rsidTr="00194CE6">
        <w:trPr>
          <w:trHeight w:val="340"/>
          <w:jc w:val="center"/>
        </w:trPr>
        <w:tc>
          <w:tcPr>
            <w:tcW w:w="2679"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Faculty</w:t>
            </w:r>
          </w:p>
        </w:tc>
        <w:tc>
          <w:tcPr>
            <w:tcW w:w="6246" w:type="dxa"/>
            <w:vAlign w:val="center"/>
          </w:tcPr>
          <w:p w:rsidR="00CF5DAF" w:rsidRPr="00333BFC" w:rsidRDefault="00CF5DAF">
            <w:pPr>
              <w:rPr>
                <w:rFonts w:ascii="Times New Roman" w:hAnsi="Times New Roman"/>
                <w:sz w:val="24"/>
                <w:szCs w:val="24"/>
                <w:lang w:val="en-GB"/>
              </w:rPr>
            </w:pPr>
            <w:r>
              <w:rPr>
                <w:rFonts w:ascii="Times New Roman" w:hAnsi="Times New Roman"/>
                <w:sz w:val="24"/>
                <w:szCs w:val="24"/>
                <w:lang w:val="en-GB"/>
              </w:rPr>
              <w:t>of Mines</w:t>
            </w:r>
          </w:p>
        </w:tc>
      </w:tr>
      <w:tr w:rsidR="00CF5DAF" w:rsidRPr="00333BFC" w:rsidTr="00194CE6">
        <w:trPr>
          <w:trHeight w:val="340"/>
          <w:jc w:val="center"/>
        </w:trPr>
        <w:tc>
          <w:tcPr>
            <w:tcW w:w="2679"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Field of study</w:t>
            </w:r>
          </w:p>
        </w:tc>
        <w:tc>
          <w:tcPr>
            <w:tcW w:w="6246" w:type="dxa"/>
            <w:vAlign w:val="center"/>
          </w:tcPr>
          <w:p w:rsidR="00CF5DAF" w:rsidRPr="00333BFC" w:rsidRDefault="00CF5DAF">
            <w:pPr>
              <w:rPr>
                <w:rFonts w:ascii="Times New Roman" w:hAnsi="Times New Roman"/>
                <w:sz w:val="24"/>
                <w:szCs w:val="24"/>
                <w:lang w:val="en-GB"/>
              </w:rPr>
            </w:pPr>
            <w:r>
              <w:rPr>
                <w:rFonts w:ascii="Times New Roman" w:hAnsi="Times New Roman"/>
                <w:sz w:val="24"/>
                <w:szCs w:val="24"/>
                <w:lang w:val="en-GB"/>
              </w:rPr>
              <w:t>Civil Engineering</w:t>
            </w:r>
          </w:p>
        </w:tc>
      </w:tr>
      <w:tr w:rsidR="00CF5DAF" w:rsidRPr="00333BFC" w:rsidTr="00194CE6">
        <w:trPr>
          <w:trHeight w:val="340"/>
          <w:jc w:val="center"/>
        </w:trPr>
        <w:tc>
          <w:tcPr>
            <w:tcW w:w="2679"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Level</w:t>
            </w:r>
          </w:p>
        </w:tc>
        <w:tc>
          <w:tcPr>
            <w:tcW w:w="6246"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Bachelor</w:t>
            </w:r>
          </w:p>
        </w:tc>
      </w:tr>
      <w:tr w:rsidR="00CF5DAF" w:rsidRPr="00333BFC" w:rsidTr="00194CE6">
        <w:trPr>
          <w:trHeight w:val="340"/>
          <w:jc w:val="center"/>
        </w:trPr>
        <w:tc>
          <w:tcPr>
            <w:tcW w:w="2679"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Program of study</w:t>
            </w:r>
          </w:p>
        </w:tc>
        <w:tc>
          <w:tcPr>
            <w:tcW w:w="6246" w:type="dxa"/>
            <w:vAlign w:val="center"/>
          </w:tcPr>
          <w:p w:rsidR="00CF5DAF" w:rsidRPr="00333BFC" w:rsidRDefault="00CF5DAF">
            <w:pPr>
              <w:rPr>
                <w:rFonts w:ascii="Times New Roman" w:hAnsi="Times New Roman"/>
                <w:sz w:val="24"/>
                <w:szCs w:val="24"/>
                <w:lang w:val="en-GB"/>
              </w:rPr>
            </w:pPr>
            <w:r>
              <w:rPr>
                <w:rFonts w:ascii="Times New Roman" w:hAnsi="Times New Roman"/>
                <w:sz w:val="24"/>
                <w:szCs w:val="24"/>
                <w:lang w:val="en-GB"/>
              </w:rPr>
              <w:t>Mining Constructions</w:t>
            </w:r>
          </w:p>
        </w:tc>
      </w:tr>
    </w:tbl>
    <w:p w:rsidR="00CF5DAF" w:rsidRDefault="00CF5DAF" w:rsidP="00BD002B">
      <w:pPr>
        <w:rPr>
          <w:rFonts w:ascii="Times New Roman" w:hAnsi="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9"/>
        <w:gridCol w:w="6246"/>
      </w:tblGrid>
      <w:tr w:rsidR="00CF5DAF" w:rsidRPr="00333BFC" w:rsidTr="00BD002B">
        <w:trPr>
          <w:trHeight w:val="340"/>
          <w:jc w:val="center"/>
        </w:trPr>
        <w:tc>
          <w:tcPr>
            <w:tcW w:w="2681"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Course</w:t>
            </w:r>
          </w:p>
        </w:tc>
        <w:tc>
          <w:tcPr>
            <w:tcW w:w="6250" w:type="dxa"/>
            <w:shd w:val="clear" w:color="auto" w:fill="D5DCE4"/>
            <w:vAlign w:val="center"/>
          </w:tcPr>
          <w:p w:rsidR="00CF5DAF" w:rsidRPr="00333BFC" w:rsidRDefault="00CF5DAF">
            <w:pPr>
              <w:rPr>
                <w:rFonts w:ascii="Times New Roman" w:hAnsi="Times New Roman"/>
                <w:b/>
                <w:sz w:val="24"/>
                <w:szCs w:val="24"/>
                <w:lang w:val="en-GB"/>
              </w:rPr>
            </w:pPr>
            <w:r w:rsidRPr="00333BFC">
              <w:rPr>
                <w:rFonts w:ascii="Times New Roman" w:hAnsi="Times New Roman"/>
                <w:b/>
                <w:sz w:val="24"/>
                <w:szCs w:val="24"/>
                <w:lang w:val="en-GB"/>
              </w:rPr>
              <w:t>O</w:t>
            </w:r>
            <w:r>
              <w:rPr>
                <w:rFonts w:ascii="Times New Roman" w:hAnsi="Times New Roman"/>
                <w:b/>
                <w:sz w:val="24"/>
                <w:szCs w:val="24"/>
                <w:lang w:val="en-GB"/>
              </w:rPr>
              <w:t>ccupational Health and Safety</w:t>
            </w:r>
          </w:p>
        </w:tc>
      </w:tr>
      <w:tr w:rsidR="00CF5DAF" w:rsidRPr="00333BFC" w:rsidTr="00BD002B">
        <w:trPr>
          <w:trHeight w:val="340"/>
          <w:jc w:val="center"/>
        </w:trPr>
        <w:tc>
          <w:tcPr>
            <w:tcW w:w="2681"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Code</w:t>
            </w:r>
          </w:p>
        </w:tc>
        <w:tc>
          <w:tcPr>
            <w:tcW w:w="6250" w:type="dxa"/>
            <w:vAlign w:val="center"/>
          </w:tcPr>
          <w:p w:rsidR="00CF5DAF" w:rsidRPr="0080237A" w:rsidRDefault="00CF5DAF">
            <w:pPr>
              <w:rPr>
                <w:rFonts w:ascii="Times New Roman" w:hAnsi="Times New Roman"/>
                <w:sz w:val="24"/>
                <w:szCs w:val="24"/>
                <w:lang w:val="en-GB"/>
              </w:rPr>
            </w:pPr>
            <w:r w:rsidRPr="0080237A">
              <w:rPr>
                <w:rFonts w:ascii="Times New Roman" w:hAnsi="Times New Roman"/>
              </w:rPr>
              <w:t>C</w:t>
            </w:r>
            <w:r>
              <w:rPr>
                <w:rFonts w:ascii="Times New Roman" w:hAnsi="Times New Roman"/>
              </w:rPr>
              <w:t>V</w:t>
            </w:r>
            <w:r w:rsidRPr="0080237A">
              <w:rPr>
                <w:rFonts w:ascii="Times New Roman" w:hAnsi="Times New Roman"/>
              </w:rPr>
              <w:t>CMS0704</w:t>
            </w:r>
          </w:p>
        </w:tc>
      </w:tr>
      <w:tr w:rsidR="00CF5DAF" w:rsidRPr="00333BFC" w:rsidTr="00BD002B">
        <w:trPr>
          <w:trHeight w:val="340"/>
          <w:jc w:val="center"/>
        </w:trPr>
        <w:tc>
          <w:tcPr>
            <w:tcW w:w="2681"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Year of study (semester)</w:t>
            </w:r>
          </w:p>
        </w:tc>
        <w:tc>
          <w:tcPr>
            <w:tcW w:w="6250" w:type="dxa"/>
            <w:vAlign w:val="center"/>
          </w:tcPr>
          <w:p w:rsidR="00CF5DAF" w:rsidRPr="00333BFC" w:rsidRDefault="00CF5DAF">
            <w:pPr>
              <w:rPr>
                <w:rFonts w:ascii="Times New Roman" w:hAnsi="Times New Roman"/>
                <w:sz w:val="24"/>
                <w:szCs w:val="24"/>
                <w:lang w:val="en-GB" w:eastAsia="zh-CN"/>
              </w:rPr>
            </w:pPr>
            <w:r>
              <w:rPr>
                <w:rFonts w:ascii="Times New Roman" w:hAnsi="Times New Roman"/>
                <w:sz w:val="24"/>
                <w:szCs w:val="24"/>
                <w:lang w:val="en-GB" w:eastAsia="zh-CN"/>
              </w:rPr>
              <w:t>IV (VII</w:t>
            </w:r>
            <w:r w:rsidRPr="00333BFC">
              <w:rPr>
                <w:rFonts w:ascii="Times New Roman" w:hAnsi="Times New Roman"/>
                <w:sz w:val="24"/>
                <w:szCs w:val="24"/>
                <w:lang w:val="en-GB" w:eastAsia="zh-CN"/>
              </w:rPr>
              <w:t>)</w:t>
            </w:r>
          </w:p>
        </w:tc>
      </w:tr>
      <w:tr w:rsidR="00CF5DAF" w:rsidRPr="00333BFC" w:rsidTr="00BD002B">
        <w:trPr>
          <w:trHeight w:val="340"/>
          <w:jc w:val="center"/>
        </w:trPr>
        <w:tc>
          <w:tcPr>
            <w:tcW w:w="2681"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Number of hours</w:t>
            </w:r>
          </w:p>
        </w:tc>
        <w:tc>
          <w:tcPr>
            <w:tcW w:w="6250" w:type="dxa"/>
            <w:vAlign w:val="center"/>
          </w:tcPr>
          <w:p w:rsidR="00CF5DAF" w:rsidRPr="00333BFC" w:rsidRDefault="00CF5DAF">
            <w:pPr>
              <w:rPr>
                <w:rFonts w:ascii="Times New Roman" w:hAnsi="Times New Roman"/>
                <w:sz w:val="24"/>
                <w:szCs w:val="24"/>
                <w:lang w:val="en-GB" w:eastAsia="zh-CN"/>
              </w:rPr>
            </w:pPr>
            <w:r>
              <w:rPr>
                <w:rFonts w:ascii="Times New Roman" w:hAnsi="Times New Roman"/>
                <w:sz w:val="24"/>
                <w:szCs w:val="24"/>
                <w:lang w:val="en-GB" w:eastAsia="zh-CN"/>
              </w:rPr>
              <w:t>70</w:t>
            </w:r>
          </w:p>
        </w:tc>
      </w:tr>
      <w:tr w:rsidR="00CF5DAF" w:rsidRPr="00333BFC" w:rsidTr="00BD002B">
        <w:trPr>
          <w:trHeight w:val="340"/>
          <w:jc w:val="center"/>
        </w:trPr>
        <w:tc>
          <w:tcPr>
            <w:tcW w:w="2681"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Number of credits</w:t>
            </w:r>
          </w:p>
        </w:tc>
        <w:tc>
          <w:tcPr>
            <w:tcW w:w="6250" w:type="dxa"/>
            <w:vAlign w:val="center"/>
          </w:tcPr>
          <w:p w:rsidR="00CF5DAF" w:rsidRPr="00333BFC" w:rsidRDefault="00CF5DAF">
            <w:pPr>
              <w:rPr>
                <w:rFonts w:ascii="Times New Roman" w:hAnsi="Times New Roman"/>
                <w:sz w:val="24"/>
                <w:szCs w:val="24"/>
                <w:lang w:val="en-GB" w:eastAsia="zh-CN"/>
              </w:rPr>
            </w:pPr>
            <w:r>
              <w:rPr>
                <w:rFonts w:ascii="Times New Roman" w:hAnsi="Times New Roman"/>
                <w:sz w:val="24"/>
                <w:szCs w:val="24"/>
                <w:lang w:val="en-GB" w:eastAsia="zh-CN"/>
              </w:rPr>
              <w:t>6</w:t>
            </w:r>
          </w:p>
        </w:tc>
      </w:tr>
      <w:tr w:rsidR="00CF5DAF" w:rsidRPr="00333BFC" w:rsidTr="00BD002B">
        <w:trPr>
          <w:trHeight w:val="340"/>
          <w:jc w:val="center"/>
        </w:trPr>
        <w:tc>
          <w:tcPr>
            <w:tcW w:w="2681" w:type="dxa"/>
            <w:vAlign w:val="center"/>
          </w:tcPr>
          <w:p w:rsidR="00CF5DAF" w:rsidRPr="00333BFC" w:rsidRDefault="00CF5DAF">
            <w:pPr>
              <w:rPr>
                <w:rFonts w:ascii="Times New Roman" w:hAnsi="Times New Roman"/>
                <w:sz w:val="24"/>
                <w:szCs w:val="24"/>
                <w:lang w:val="en-GB"/>
              </w:rPr>
            </w:pPr>
            <w:r w:rsidRPr="00333BFC">
              <w:rPr>
                <w:rFonts w:ascii="Times New Roman" w:hAnsi="Times New Roman"/>
                <w:sz w:val="24"/>
                <w:szCs w:val="24"/>
                <w:lang w:val="en-GB"/>
              </w:rPr>
              <w:t>Professor</w:t>
            </w:r>
          </w:p>
        </w:tc>
        <w:tc>
          <w:tcPr>
            <w:tcW w:w="6250" w:type="dxa"/>
            <w:vAlign w:val="center"/>
          </w:tcPr>
          <w:p w:rsidR="00CF5DAF" w:rsidRPr="00333BFC" w:rsidRDefault="00CF5DAF">
            <w:pPr>
              <w:rPr>
                <w:rFonts w:ascii="Times New Roman" w:hAnsi="Times New Roman"/>
                <w:sz w:val="24"/>
                <w:szCs w:val="24"/>
                <w:lang w:val="en-GB" w:eastAsia="zh-CN"/>
              </w:rPr>
            </w:pPr>
            <w:r w:rsidRPr="00333BFC">
              <w:rPr>
                <w:rFonts w:ascii="Times New Roman" w:hAnsi="Times New Roman"/>
                <w:sz w:val="24"/>
                <w:szCs w:val="24"/>
                <w:lang w:val="en-GB" w:eastAsia="zh-CN"/>
              </w:rPr>
              <w:t xml:space="preserve">Prof., Ph.D. </w:t>
            </w:r>
            <w:r>
              <w:rPr>
                <w:rFonts w:ascii="Times New Roman" w:hAnsi="Times New Roman"/>
                <w:sz w:val="24"/>
                <w:szCs w:val="24"/>
                <w:lang w:val="en-GB" w:eastAsia="zh-CN"/>
              </w:rPr>
              <w:t>MORARU Roland</w:t>
            </w:r>
          </w:p>
        </w:tc>
      </w:tr>
    </w:tbl>
    <w:p w:rsidR="00CF5DAF" w:rsidRDefault="00CF5DAF" w:rsidP="00BD002B">
      <w:pPr>
        <w:ind w:right="-766"/>
        <w:rPr>
          <w:rFonts w:ascii="Times New Roman" w:hAnsi="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8210"/>
      </w:tblGrid>
      <w:tr w:rsidR="00CF5DAF" w:rsidRPr="00333BFC" w:rsidTr="00A856D4">
        <w:trPr>
          <w:trHeight w:val="397"/>
          <w:jc w:val="center"/>
        </w:trPr>
        <w:tc>
          <w:tcPr>
            <w:tcW w:w="670" w:type="dxa"/>
            <w:shd w:val="clear" w:color="auto" w:fill="D5DCE4"/>
            <w:vAlign w:val="center"/>
          </w:tcPr>
          <w:p w:rsidR="00CF5DAF" w:rsidRPr="00333BFC" w:rsidRDefault="00CF5DAF" w:rsidP="00194CE6">
            <w:pPr>
              <w:spacing w:after="0"/>
              <w:jc w:val="center"/>
              <w:rPr>
                <w:rFonts w:ascii="Times New Roman" w:hAnsi="Times New Roman"/>
                <w:b/>
                <w:sz w:val="24"/>
                <w:szCs w:val="24"/>
                <w:lang w:val="en-GB" w:eastAsia="zh-CN"/>
              </w:rPr>
            </w:pPr>
            <w:r w:rsidRPr="00333BFC">
              <w:rPr>
                <w:rFonts w:ascii="Times New Roman" w:hAnsi="Times New Roman"/>
                <w:b/>
                <w:sz w:val="24"/>
                <w:szCs w:val="24"/>
                <w:lang w:val="en-GB" w:eastAsia="zh-CN"/>
              </w:rPr>
              <w:t>No.</w:t>
            </w:r>
          </w:p>
        </w:tc>
        <w:tc>
          <w:tcPr>
            <w:tcW w:w="8210" w:type="dxa"/>
            <w:shd w:val="clear" w:color="auto" w:fill="D5DCE4"/>
            <w:vAlign w:val="center"/>
          </w:tcPr>
          <w:p w:rsidR="00CF5DAF" w:rsidRPr="00333BFC" w:rsidRDefault="00CF5DAF" w:rsidP="00194CE6">
            <w:pPr>
              <w:spacing w:after="0"/>
              <w:jc w:val="center"/>
              <w:rPr>
                <w:rFonts w:ascii="Times New Roman" w:hAnsi="Times New Roman"/>
                <w:b/>
                <w:sz w:val="24"/>
                <w:szCs w:val="24"/>
                <w:lang w:val="en-GB" w:eastAsia="zh-CN"/>
              </w:rPr>
            </w:pPr>
            <w:r w:rsidRPr="00333BFC">
              <w:rPr>
                <w:rFonts w:ascii="Times New Roman" w:hAnsi="Times New Roman"/>
                <w:b/>
                <w:sz w:val="24"/>
                <w:szCs w:val="24"/>
                <w:lang w:val="en-GB" w:eastAsia="zh-CN"/>
              </w:rPr>
              <w:t>Topic</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 xml:space="preserve">Composition of mine atmosphere: Mine gases; generation, properties and effects; sampling and analysis of mine air; flame safety lamp; monitoring of different gases; inflammability of fire damp; fire damp explosions. </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Heat and humidity: Sources of heat in mines; geothermal gradient; heat flow in deep mines;  effects of heat and humidity; psychometrics; computation of thermodynamic properties of mine air; basic modes of heat transfer in mines; methods of calculation of heat flow and temperature rise in mine airways; heat and moisture transfer in stopes.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 xml:space="preserve">Air flow in mines: Laws of air flow; resistance of airways; resistance and splitting problems; equivalent orifice; flow control devices; permissible air velocities. </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 xml:space="preserve">Natural ventilation: Seasonal variations; calculation of natural ventilation pressure; </w:t>
            </w:r>
          </w:p>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thermodynamic principles and other short-cut methods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Mechanical ventilation: Theory of different fans; characteristics and suitability of  fan; selection, testing and output control; fans in series and parallel; reversal of air flow; fan drift, diffuser and evasee; booster and auxiliary fans; ventilation of headings and sinking shafts; standards of ventilation; ventilation calculations.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 xml:space="preserve">Ventilation planning: Ventilation layout; determination of size of shafts and airways; estimation of air quantity requirements; ventilation network analysis; Hardy Cross method of iterative analysis and application of linear theory; thermodynamic network analysis and computer application; application of numerical modeling; estimation of pressure requirement; ventilation survey; ventilation plans. </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sz w:val="24"/>
                <w:szCs w:val="24"/>
              </w:rPr>
            </w:pPr>
            <w:r w:rsidRPr="00194CE6">
              <w:rPr>
                <w:rStyle w:val="fontstyle01"/>
                <w:sz w:val="24"/>
                <w:szCs w:val="24"/>
              </w:rPr>
              <w:t>Structure of the law system and the main normative acts regarding the occupational safety and health</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sz w:val="24"/>
                <w:szCs w:val="24"/>
              </w:rPr>
            </w:pPr>
            <w:r w:rsidRPr="00194CE6">
              <w:rPr>
                <w:rStyle w:val="fontstyle01"/>
                <w:sz w:val="24"/>
                <w:szCs w:val="24"/>
              </w:rPr>
              <w:t xml:space="preserve">Occupational accidents and diseases. Definition, classification, communication, research, recording. Signaling and declaring the occupational diseases </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sz w:val="24"/>
                <w:szCs w:val="24"/>
              </w:rPr>
            </w:pPr>
            <w:r w:rsidRPr="00194CE6">
              <w:rPr>
                <w:rStyle w:val="fontstyle01"/>
                <w:sz w:val="24"/>
                <w:szCs w:val="24"/>
              </w:rPr>
              <w:t>Basic principles and concepts regarding the industrial risks analysis. Threat, risk, acceptable risk, Farmer diagram</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sz w:val="24"/>
                <w:szCs w:val="24"/>
              </w:rPr>
            </w:pPr>
            <w:r w:rsidRPr="00194CE6">
              <w:rPr>
                <w:rStyle w:val="fontstyle01"/>
                <w:sz w:val="24"/>
                <w:szCs w:val="24"/>
              </w:rPr>
              <w:t>Techniques and methods for assessing the occupational accident and disease risks in mining</w:t>
            </w:r>
            <w:r>
              <w:rPr>
                <w:rStyle w:val="fontstyle01"/>
                <w:sz w:val="24"/>
                <w:szCs w:val="24"/>
              </w:rPr>
              <w:t xml:space="preserve"> </w:t>
            </w:r>
            <w:r w:rsidRPr="00194CE6">
              <w:rPr>
                <w:rStyle w:val="fontstyle01"/>
                <w:sz w:val="24"/>
                <w:szCs w:val="24"/>
              </w:rPr>
              <w:t>industry. Systems and techniques for instrumental measurement of the microclimate parameters and comfort degree</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sz w:val="24"/>
                <w:szCs w:val="24"/>
              </w:rPr>
            </w:pPr>
            <w:r w:rsidRPr="00194CE6">
              <w:rPr>
                <w:rStyle w:val="fontstyle01"/>
                <w:sz w:val="24"/>
                <w:szCs w:val="24"/>
              </w:rPr>
              <w:t>Gaseous explosive environments. Methane. Explosive mixtures with more components.</w:t>
            </w:r>
            <w:r>
              <w:rPr>
                <w:rStyle w:val="fontstyle01"/>
                <w:sz w:val="24"/>
                <w:szCs w:val="24"/>
              </w:rPr>
              <w:t xml:space="preserve"> </w:t>
            </w:r>
            <w:r w:rsidRPr="00194CE6">
              <w:rPr>
                <w:rStyle w:val="fontstyle01"/>
                <w:sz w:val="24"/>
                <w:szCs w:val="24"/>
              </w:rPr>
              <w:t>Classification of mines from the point of view of the gas emanations. Monitoring the underground methane concentration. Placing the detection heads of the telemetry station in various categories of mining works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Style w:val="fontstyle01"/>
                <w:rFonts w:ascii="Times New Roman" w:hAnsi="Times New Roman"/>
                <w:sz w:val="24"/>
                <w:szCs w:val="24"/>
              </w:rPr>
              <w:t>Underground fires and endogenous fires as major risk phenomena. The mechanism of the coal self</w:t>
            </w:r>
            <w:r>
              <w:rPr>
                <w:rStyle w:val="fontstyle01"/>
                <w:rFonts w:ascii="Times New Roman" w:hAnsi="Times New Roman"/>
                <w:sz w:val="24"/>
                <w:szCs w:val="24"/>
              </w:rPr>
              <w:t xml:space="preserve"> </w:t>
            </w:r>
            <w:r w:rsidRPr="00194CE6">
              <w:rPr>
                <w:rStyle w:val="fontstyle01"/>
                <w:rFonts w:ascii="Times New Roman" w:hAnsi="Times New Roman"/>
                <w:sz w:val="24"/>
                <w:szCs w:val="24"/>
              </w:rPr>
              <w:t>ignition process, detection during the incipient phase,</w:t>
            </w:r>
            <w:r w:rsidRPr="00194CE6">
              <w:rPr>
                <w:rFonts w:ascii="Times New Roman" w:hAnsi="Times New Roman"/>
                <w:sz w:val="24"/>
                <w:szCs w:val="24"/>
              </w:rPr>
              <w:t xml:space="preserve"> </w:t>
            </w:r>
            <w:r w:rsidRPr="00194CE6">
              <w:rPr>
                <w:rStyle w:val="fontstyle01"/>
                <w:rFonts w:ascii="Times New Roman" w:hAnsi="Times New Roman"/>
                <w:sz w:val="24"/>
                <w:szCs w:val="24"/>
              </w:rPr>
              <w:t>techniques and means for prevention and control. Early detection of the endogenous fires. Fire indices calculus (Indices: breathing, Graham. Trickett-Jones)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Fonts w:ascii="Times New Roman" w:hAnsi="Times New Roman"/>
                <w:sz w:val="24"/>
                <w:szCs w:val="24"/>
              </w:rPr>
            </w:pPr>
            <w:r w:rsidRPr="00194CE6">
              <w:rPr>
                <w:rFonts w:ascii="Times New Roman" w:hAnsi="Times New Roman"/>
                <w:sz w:val="24"/>
                <w:szCs w:val="24"/>
              </w:rPr>
              <w:t xml:space="preserve">Airborne dust: Generation, dispersion, measurement and control; suppression and treatment of mine dust; sampling and analysis of mine dust. </w:t>
            </w:r>
            <w:r w:rsidRPr="00194CE6">
              <w:rPr>
                <w:rStyle w:val="fontstyle01"/>
                <w:rFonts w:ascii="Times New Roman" w:hAnsi="Times New Roman"/>
                <w:sz w:val="24"/>
                <w:szCs w:val="24"/>
              </w:rPr>
              <w:t>Powdery explosive environments. Explosive coal powder, sources, factors and parameters that influence the explosion capacity, the mechanism of the explosion process.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Style w:val="fontstyle01"/>
                <w:rFonts w:ascii="Calibri" w:hAnsi="Calibri"/>
                <w:color w:val="auto"/>
                <w:sz w:val="24"/>
                <w:szCs w:val="24"/>
              </w:rPr>
            </w:pPr>
            <w:r w:rsidRPr="00194CE6">
              <w:rPr>
                <w:rStyle w:val="fontstyle01"/>
                <w:sz w:val="24"/>
                <w:szCs w:val="24"/>
              </w:rPr>
              <w:t>Prevention against industrial pneumoconiosis causing powders. Prevention of silicosis</w:t>
            </w:r>
            <w:r>
              <w:rPr>
                <w:rStyle w:val="fontstyle01"/>
                <w:sz w:val="24"/>
                <w:szCs w:val="24"/>
              </w:rPr>
              <w:t xml:space="preserve"> </w:t>
            </w:r>
            <w:r w:rsidRPr="00194CE6">
              <w:rPr>
                <w:rStyle w:val="fontstyle01"/>
                <w:sz w:val="24"/>
                <w:szCs w:val="24"/>
              </w:rPr>
              <w:t>causing powder generated  by the mining operations.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Style w:val="fontstyle01"/>
                <w:rFonts w:ascii="Calibri" w:hAnsi="Calibri"/>
                <w:color w:val="auto"/>
                <w:sz w:val="24"/>
                <w:szCs w:val="24"/>
              </w:rPr>
            </w:pPr>
            <w:r w:rsidRPr="00194CE6">
              <w:rPr>
                <w:rStyle w:val="fontstyle01"/>
                <w:sz w:val="24"/>
                <w:szCs w:val="24"/>
              </w:rPr>
              <w:t>Technical, organizational and hygienic-sanitary methods and means for prevention against the</w:t>
            </w:r>
            <w:r>
              <w:rPr>
                <w:rStyle w:val="fontstyle01"/>
                <w:sz w:val="24"/>
                <w:szCs w:val="24"/>
              </w:rPr>
              <w:t xml:space="preserve"> </w:t>
            </w:r>
            <w:r w:rsidRPr="00194CE6">
              <w:rPr>
                <w:rStyle w:val="fontstyle01"/>
                <w:sz w:val="24"/>
                <w:szCs w:val="24"/>
              </w:rPr>
              <w:t>occupational accident and disease risks in underground mining</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Style w:val="fontstyle01"/>
                <w:sz w:val="24"/>
                <w:szCs w:val="24"/>
              </w:rPr>
            </w:pPr>
            <w:r w:rsidRPr="00194CE6">
              <w:rPr>
                <w:rStyle w:val="fontstyle01"/>
                <w:sz w:val="24"/>
                <w:szCs w:val="24"/>
              </w:rPr>
              <w:t>Electrical safety</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Style w:val="fontstyle01"/>
                <w:rFonts w:ascii="Calibri" w:hAnsi="Calibri"/>
                <w:color w:val="auto"/>
                <w:sz w:val="24"/>
                <w:szCs w:val="24"/>
              </w:rPr>
            </w:pPr>
            <w:r w:rsidRPr="00194CE6">
              <w:rPr>
                <w:rStyle w:val="fontstyle01"/>
                <w:sz w:val="24"/>
                <w:szCs w:val="24"/>
              </w:rPr>
              <w:t>Minimal safety and health requirements for temporary and mobile work sites</w:t>
            </w:r>
          </w:p>
        </w:tc>
      </w:tr>
      <w:tr w:rsidR="00CF5DAF" w:rsidRPr="00333BFC" w:rsidTr="00A856D4">
        <w:trPr>
          <w:trHeight w:val="397"/>
          <w:jc w:val="center"/>
        </w:trPr>
        <w:tc>
          <w:tcPr>
            <w:tcW w:w="670" w:type="dxa"/>
            <w:vAlign w:val="center"/>
          </w:tcPr>
          <w:p w:rsidR="00CF5DAF" w:rsidRPr="00333BFC" w:rsidRDefault="00CF5DAF" w:rsidP="00194CE6">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CF5DAF" w:rsidRPr="00194CE6" w:rsidRDefault="00CF5DAF" w:rsidP="00194CE6">
            <w:pPr>
              <w:spacing w:after="0"/>
              <w:rPr>
                <w:rStyle w:val="fontstyle01"/>
                <w:rFonts w:ascii="Calibri" w:hAnsi="Calibri"/>
                <w:color w:val="auto"/>
                <w:sz w:val="24"/>
                <w:szCs w:val="24"/>
              </w:rPr>
            </w:pPr>
            <w:r w:rsidRPr="00194CE6">
              <w:rPr>
                <w:rStyle w:val="fontstyle01"/>
                <w:sz w:val="24"/>
                <w:szCs w:val="24"/>
              </w:rPr>
              <w:t>Occupational safety and health requirements for mining underground constructions. Rescuing, self-rescuing systems and personal protective equipment</w:t>
            </w:r>
          </w:p>
        </w:tc>
      </w:tr>
    </w:tbl>
    <w:p w:rsidR="00CF5DAF" w:rsidRPr="00B812C5" w:rsidRDefault="00CF5DAF" w:rsidP="00846F41">
      <w:pPr>
        <w:jc w:val="both"/>
        <w:rPr>
          <w:rFonts w:ascii="Arial" w:hAnsi="Arial" w:cs="Arial"/>
          <w:color w:val="3B3838"/>
          <w:sz w:val="24"/>
          <w:szCs w:val="24"/>
        </w:rPr>
      </w:pPr>
      <w:bookmarkStart w:id="0" w:name="_GoBack"/>
      <w:bookmarkEnd w:id="0"/>
    </w:p>
    <w:sectPr w:rsidR="00CF5DAF" w:rsidRPr="00B812C5" w:rsidSect="00846F41">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3B8" w:rsidRDefault="000713B8" w:rsidP="00846F41">
      <w:pPr>
        <w:spacing w:after="0" w:line="240" w:lineRule="auto"/>
      </w:pPr>
      <w:r>
        <w:separator/>
      </w:r>
    </w:p>
  </w:endnote>
  <w:endnote w:type="continuationSeparator" w:id="1">
    <w:p w:rsidR="000713B8" w:rsidRDefault="000713B8" w:rsidP="00846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AF" w:rsidRDefault="006D22AC">
    <w:pPr>
      <w:pStyle w:val="Footer"/>
    </w:pPr>
    <w:r>
      <w:rPr>
        <w:noProof/>
      </w:rPr>
      <w:drawing>
        <wp:anchor distT="0" distB="0" distL="114300" distR="114300" simplePos="0" relativeHeight="251657216" behindDoc="0" locked="0" layoutInCell="1" allowOverlap="1">
          <wp:simplePos x="0" y="0"/>
          <wp:positionH relativeFrom="margin">
            <wp:posOffset>-519430</wp:posOffset>
          </wp:positionH>
          <wp:positionV relativeFrom="paragraph">
            <wp:posOffset>66675</wp:posOffset>
          </wp:positionV>
          <wp:extent cx="6806565" cy="320675"/>
          <wp:effectExtent l="19050" t="0" r="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806565" cy="3206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3B8" w:rsidRDefault="000713B8" w:rsidP="00846F41">
      <w:pPr>
        <w:spacing w:after="0" w:line="240" w:lineRule="auto"/>
      </w:pPr>
      <w:r>
        <w:separator/>
      </w:r>
    </w:p>
  </w:footnote>
  <w:footnote w:type="continuationSeparator" w:id="1">
    <w:p w:rsidR="000713B8" w:rsidRDefault="000713B8" w:rsidP="00846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AF" w:rsidRDefault="006D22AC">
    <w:pPr>
      <w:pStyle w:val="Header"/>
    </w:pPr>
    <w:r>
      <w:rPr>
        <w:noProof/>
      </w:rPr>
      <w:drawing>
        <wp:anchor distT="0" distB="0" distL="114300" distR="114300" simplePos="0" relativeHeight="251658240" behindDoc="0" locked="0" layoutInCell="1" allowOverlap="1">
          <wp:simplePos x="0" y="0"/>
          <wp:positionH relativeFrom="margin">
            <wp:posOffset>-495300</wp:posOffset>
          </wp:positionH>
          <wp:positionV relativeFrom="paragraph">
            <wp:posOffset>-114935</wp:posOffset>
          </wp:positionV>
          <wp:extent cx="6731000" cy="155257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0" cy="1552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96A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78D08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EBC7C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5D022A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FB6E4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7095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CC51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94AD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BE5C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1666A68"/>
    <w:lvl w:ilvl="0">
      <w:start w:val="1"/>
      <w:numFmt w:val="bullet"/>
      <w:lvlText w:val=""/>
      <w:lvlJc w:val="left"/>
      <w:pPr>
        <w:tabs>
          <w:tab w:val="num" w:pos="360"/>
        </w:tabs>
        <w:ind w:left="360" w:hanging="360"/>
      </w:pPr>
      <w:rPr>
        <w:rFonts w:ascii="Symbol" w:hAnsi="Symbol" w:hint="default"/>
      </w:rPr>
    </w:lvl>
  </w:abstractNum>
  <w:abstractNum w:abstractNumId="10">
    <w:nsid w:val="23FD5D0B"/>
    <w:multiLevelType w:val="hybridMultilevel"/>
    <w:tmpl w:val="869A418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846F41"/>
    <w:rsid w:val="000713B8"/>
    <w:rsid w:val="001844A1"/>
    <w:rsid w:val="00194CE6"/>
    <w:rsid w:val="001E3582"/>
    <w:rsid w:val="00333BFC"/>
    <w:rsid w:val="00394EED"/>
    <w:rsid w:val="00396012"/>
    <w:rsid w:val="004D6C15"/>
    <w:rsid w:val="00507E0B"/>
    <w:rsid w:val="00541711"/>
    <w:rsid w:val="00562110"/>
    <w:rsid w:val="005654C5"/>
    <w:rsid w:val="005B2D6A"/>
    <w:rsid w:val="005C5B8C"/>
    <w:rsid w:val="0061137D"/>
    <w:rsid w:val="0061284C"/>
    <w:rsid w:val="00623A40"/>
    <w:rsid w:val="0064771F"/>
    <w:rsid w:val="0065339F"/>
    <w:rsid w:val="006C2C47"/>
    <w:rsid w:val="006D22AC"/>
    <w:rsid w:val="0075270C"/>
    <w:rsid w:val="007651FD"/>
    <w:rsid w:val="007F77A9"/>
    <w:rsid w:val="0080237A"/>
    <w:rsid w:val="00846F41"/>
    <w:rsid w:val="0090786B"/>
    <w:rsid w:val="00917D40"/>
    <w:rsid w:val="00956E2B"/>
    <w:rsid w:val="00A342A3"/>
    <w:rsid w:val="00A4288D"/>
    <w:rsid w:val="00A430E4"/>
    <w:rsid w:val="00A856D4"/>
    <w:rsid w:val="00B812C5"/>
    <w:rsid w:val="00B942D3"/>
    <w:rsid w:val="00BC5E5F"/>
    <w:rsid w:val="00BD002B"/>
    <w:rsid w:val="00C63F05"/>
    <w:rsid w:val="00C974D4"/>
    <w:rsid w:val="00CA4C4D"/>
    <w:rsid w:val="00CD4A57"/>
    <w:rsid w:val="00CD6806"/>
    <w:rsid w:val="00CF5DAF"/>
    <w:rsid w:val="00D075D9"/>
    <w:rsid w:val="00D113B1"/>
    <w:rsid w:val="00D22A1E"/>
    <w:rsid w:val="00D51F5B"/>
    <w:rsid w:val="00D57FF3"/>
    <w:rsid w:val="00D84061"/>
    <w:rsid w:val="00DA0BBE"/>
    <w:rsid w:val="00EA47CF"/>
    <w:rsid w:val="00EB2399"/>
    <w:rsid w:val="00EB4DFA"/>
    <w:rsid w:val="00F85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6F41"/>
    <w:rPr>
      <w:rFonts w:cs="Times New Roman"/>
    </w:rPr>
  </w:style>
  <w:style w:type="paragraph" w:styleId="Footer">
    <w:name w:val="footer"/>
    <w:basedOn w:val="Normal"/>
    <w:link w:val="FooterChar"/>
    <w:uiPriority w:val="99"/>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6F41"/>
    <w:rPr>
      <w:rFonts w:cs="Times New Roman"/>
    </w:rPr>
  </w:style>
  <w:style w:type="paragraph" w:styleId="BalloonText">
    <w:name w:val="Balloon Text"/>
    <w:basedOn w:val="Normal"/>
    <w:link w:val="BalloonTextChar"/>
    <w:uiPriority w:val="99"/>
    <w:semiHidden/>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6F41"/>
    <w:rPr>
      <w:rFonts w:ascii="Segoe UI" w:hAnsi="Segoe UI" w:cs="Segoe UI"/>
      <w:sz w:val="18"/>
      <w:szCs w:val="18"/>
    </w:rPr>
  </w:style>
  <w:style w:type="paragraph" w:styleId="ListParagraph">
    <w:name w:val="List Paragraph"/>
    <w:basedOn w:val="Normal"/>
    <w:uiPriority w:val="99"/>
    <w:qFormat/>
    <w:rsid w:val="00BD002B"/>
    <w:pPr>
      <w:spacing w:after="0" w:line="240" w:lineRule="auto"/>
      <w:ind w:left="720"/>
      <w:contextualSpacing/>
      <w:jc w:val="both"/>
    </w:pPr>
    <w:rPr>
      <w:lang w:val="ro-RO"/>
    </w:rPr>
  </w:style>
  <w:style w:type="character" w:customStyle="1" w:styleId="fontstyle01">
    <w:name w:val="fontstyle01"/>
    <w:basedOn w:val="DefaultParagraphFont"/>
    <w:uiPriority w:val="99"/>
    <w:rsid w:val="00A856D4"/>
    <w:rPr>
      <w:rFonts w:ascii="TimesNewRomanPSMT" w:hAnsi="TimesNewRomanPSMT"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836190437">
      <w:marLeft w:val="0"/>
      <w:marRight w:val="0"/>
      <w:marTop w:val="0"/>
      <w:marBottom w:val="0"/>
      <w:divBdr>
        <w:top w:val="none" w:sz="0" w:space="0" w:color="auto"/>
        <w:left w:val="none" w:sz="0" w:space="0" w:color="auto"/>
        <w:bottom w:val="none" w:sz="0" w:space="0" w:color="auto"/>
        <w:right w:val="none" w:sz="0" w:space="0" w:color="auto"/>
      </w:divBdr>
    </w:div>
    <w:div w:id="1836190438">
      <w:marLeft w:val="0"/>
      <w:marRight w:val="0"/>
      <w:marTop w:val="0"/>
      <w:marBottom w:val="0"/>
      <w:divBdr>
        <w:top w:val="none" w:sz="0" w:space="0" w:color="auto"/>
        <w:left w:val="none" w:sz="0" w:space="0" w:color="auto"/>
        <w:bottom w:val="none" w:sz="0" w:space="0" w:color="auto"/>
        <w:right w:val="none" w:sz="0" w:space="0" w:color="auto"/>
      </w:divBdr>
    </w:div>
    <w:div w:id="1836190439">
      <w:marLeft w:val="0"/>
      <w:marRight w:val="0"/>
      <w:marTop w:val="0"/>
      <w:marBottom w:val="0"/>
      <w:divBdr>
        <w:top w:val="none" w:sz="0" w:space="0" w:color="auto"/>
        <w:left w:val="none" w:sz="0" w:space="0" w:color="auto"/>
        <w:bottom w:val="none" w:sz="0" w:space="0" w:color="auto"/>
        <w:right w:val="none" w:sz="0" w:space="0" w:color="auto"/>
      </w:divBdr>
    </w:div>
    <w:div w:id="1836190440">
      <w:marLeft w:val="0"/>
      <w:marRight w:val="0"/>
      <w:marTop w:val="0"/>
      <w:marBottom w:val="0"/>
      <w:divBdr>
        <w:top w:val="none" w:sz="0" w:space="0" w:color="auto"/>
        <w:left w:val="none" w:sz="0" w:space="0" w:color="auto"/>
        <w:bottom w:val="none" w:sz="0" w:space="0" w:color="auto"/>
        <w:right w:val="none" w:sz="0" w:space="0" w:color="auto"/>
      </w:divBdr>
    </w:div>
    <w:div w:id="1836190441">
      <w:marLeft w:val="0"/>
      <w:marRight w:val="0"/>
      <w:marTop w:val="0"/>
      <w:marBottom w:val="0"/>
      <w:divBdr>
        <w:top w:val="none" w:sz="0" w:space="0" w:color="auto"/>
        <w:left w:val="none" w:sz="0" w:space="0" w:color="auto"/>
        <w:bottom w:val="none" w:sz="0" w:space="0" w:color="auto"/>
        <w:right w:val="none" w:sz="0" w:space="0" w:color="auto"/>
      </w:divBdr>
    </w:div>
    <w:div w:id="1836190442">
      <w:marLeft w:val="0"/>
      <w:marRight w:val="0"/>
      <w:marTop w:val="0"/>
      <w:marBottom w:val="0"/>
      <w:divBdr>
        <w:top w:val="none" w:sz="0" w:space="0" w:color="auto"/>
        <w:left w:val="none" w:sz="0" w:space="0" w:color="auto"/>
        <w:bottom w:val="none" w:sz="0" w:space="0" w:color="auto"/>
        <w:right w:val="none" w:sz="0" w:space="0" w:color="auto"/>
      </w:divBdr>
    </w:div>
    <w:div w:id="1836190443">
      <w:marLeft w:val="0"/>
      <w:marRight w:val="0"/>
      <w:marTop w:val="0"/>
      <w:marBottom w:val="0"/>
      <w:divBdr>
        <w:top w:val="none" w:sz="0" w:space="0" w:color="auto"/>
        <w:left w:val="none" w:sz="0" w:space="0" w:color="auto"/>
        <w:bottom w:val="none" w:sz="0" w:space="0" w:color="auto"/>
        <w:right w:val="none" w:sz="0" w:space="0" w:color="auto"/>
      </w:divBdr>
    </w:div>
    <w:div w:id="1836190444">
      <w:marLeft w:val="0"/>
      <w:marRight w:val="0"/>
      <w:marTop w:val="0"/>
      <w:marBottom w:val="0"/>
      <w:divBdr>
        <w:top w:val="none" w:sz="0" w:space="0" w:color="auto"/>
        <w:left w:val="none" w:sz="0" w:space="0" w:color="auto"/>
        <w:bottom w:val="none" w:sz="0" w:space="0" w:color="auto"/>
        <w:right w:val="none" w:sz="0" w:space="0" w:color="auto"/>
      </w:divBdr>
    </w:div>
    <w:div w:id="1836190445">
      <w:marLeft w:val="0"/>
      <w:marRight w:val="0"/>
      <w:marTop w:val="0"/>
      <w:marBottom w:val="0"/>
      <w:divBdr>
        <w:top w:val="none" w:sz="0" w:space="0" w:color="auto"/>
        <w:left w:val="none" w:sz="0" w:space="0" w:color="auto"/>
        <w:bottom w:val="none" w:sz="0" w:space="0" w:color="auto"/>
        <w:right w:val="none" w:sz="0" w:space="0" w:color="auto"/>
      </w:divBdr>
    </w:div>
    <w:div w:id="1836190446">
      <w:marLeft w:val="0"/>
      <w:marRight w:val="0"/>
      <w:marTop w:val="0"/>
      <w:marBottom w:val="0"/>
      <w:divBdr>
        <w:top w:val="none" w:sz="0" w:space="0" w:color="auto"/>
        <w:left w:val="none" w:sz="0" w:space="0" w:color="auto"/>
        <w:bottom w:val="none" w:sz="0" w:space="0" w:color="auto"/>
        <w:right w:val="none" w:sz="0" w:space="0" w:color="auto"/>
      </w:divBdr>
    </w:div>
    <w:div w:id="1836190447">
      <w:marLeft w:val="0"/>
      <w:marRight w:val="0"/>
      <w:marTop w:val="0"/>
      <w:marBottom w:val="0"/>
      <w:divBdr>
        <w:top w:val="none" w:sz="0" w:space="0" w:color="auto"/>
        <w:left w:val="none" w:sz="0" w:space="0" w:color="auto"/>
        <w:bottom w:val="none" w:sz="0" w:space="0" w:color="auto"/>
        <w:right w:val="none" w:sz="0" w:space="0" w:color="auto"/>
      </w:divBdr>
    </w:div>
    <w:div w:id="1836190448">
      <w:marLeft w:val="0"/>
      <w:marRight w:val="0"/>
      <w:marTop w:val="0"/>
      <w:marBottom w:val="0"/>
      <w:divBdr>
        <w:top w:val="none" w:sz="0" w:space="0" w:color="auto"/>
        <w:left w:val="none" w:sz="0" w:space="0" w:color="auto"/>
        <w:bottom w:val="none" w:sz="0" w:space="0" w:color="auto"/>
        <w:right w:val="none" w:sz="0" w:space="0" w:color="auto"/>
      </w:divBdr>
    </w:div>
    <w:div w:id="1836190449">
      <w:marLeft w:val="0"/>
      <w:marRight w:val="0"/>
      <w:marTop w:val="0"/>
      <w:marBottom w:val="0"/>
      <w:divBdr>
        <w:top w:val="none" w:sz="0" w:space="0" w:color="auto"/>
        <w:left w:val="none" w:sz="0" w:space="0" w:color="auto"/>
        <w:bottom w:val="none" w:sz="0" w:space="0" w:color="auto"/>
        <w:right w:val="none" w:sz="0" w:space="0" w:color="auto"/>
      </w:divBdr>
    </w:div>
    <w:div w:id="1836190450">
      <w:marLeft w:val="0"/>
      <w:marRight w:val="0"/>
      <w:marTop w:val="0"/>
      <w:marBottom w:val="0"/>
      <w:divBdr>
        <w:top w:val="none" w:sz="0" w:space="0" w:color="auto"/>
        <w:left w:val="none" w:sz="0" w:space="0" w:color="auto"/>
        <w:bottom w:val="none" w:sz="0" w:space="0" w:color="auto"/>
        <w:right w:val="none" w:sz="0" w:space="0" w:color="auto"/>
      </w:divBdr>
    </w:div>
    <w:div w:id="1836190451">
      <w:marLeft w:val="0"/>
      <w:marRight w:val="0"/>
      <w:marTop w:val="0"/>
      <w:marBottom w:val="0"/>
      <w:divBdr>
        <w:top w:val="none" w:sz="0" w:space="0" w:color="auto"/>
        <w:left w:val="none" w:sz="0" w:space="0" w:color="auto"/>
        <w:bottom w:val="none" w:sz="0" w:space="0" w:color="auto"/>
        <w:right w:val="none" w:sz="0" w:space="0" w:color="auto"/>
      </w:divBdr>
    </w:div>
    <w:div w:id="1836190452">
      <w:marLeft w:val="0"/>
      <w:marRight w:val="0"/>
      <w:marTop w:val="0"/>
      <w:marBottom w:val="0"/>
      <w:divBdr>
        <w:top w:val="none" w:sz="0" w:space="0" w:color="auto"/>
        <w:left w:val="none" w:sz="0" w:space="0" w:color="auto"/>
        <w:bottom w:val="none" w:sz="0" w:space="0" w:color="auto"/>
        <w:right w:val="none" w:sz="0" w:space="0" w:color="auto"/>
      </w:divBdr>
    </w:div>
    <w:div w:id="1836190453">
      <w:marLeft w:val="0"/>
      <w:marRight w:val="0"/>
      <w:marTop w:val="0"/>
      <w:marBottom w:val="0"/>
      <w:divBdr>
        <w:top w:val="none" w:sz="0" w:space="0" w:color="auto"/>
        <w:left w:val="none" w:sz="0" w:space="0" w:color="auto"/>
        <w:bottom w:val="none" w:sz="0" w:space="0" w:color="auto"/>
        <w:right w:val="none" w:sz="0" w:space="0" w:color="auto"/>
      </w:divBdr>
    </w:div>
    <w:div w:id="1836190456">
      <w:marLeft w:val="0"/>
      <w:marRight w:val="0"/>
      <w:marTop w:val="0"/>
      <w:marBottom w:val="0"/>
      <w:divBdr>
        <w:top w:val="none" w:sz="0" w:space="0" w:color="auto"/>
        <w:left w:val="none" w:sz="0" w:space="0" w:color="auto"/>
        <w:bottom w:val="none" w:sz="0" w:space="0" w:color="auto"/>
        <w:right w:val="none" w:sz="0" w:space="0" w:color="auto"/>
      </w:divBdr>
      <w:divsChild>
        <w:div w:id="1836190464">
          <w:marLeft w:val="0"/>
          <w:marRight w:val="0"/>
          <w:marTop w:val="0"/>
          <w:marBottom w:val="0"/>
          <w:divBdr>
            <w:top w:val="none" w:sz="0" w:space="0" w:color="auto"/>
            <w:left w:val="none" w:sz="0" w:space="0" w:color="auto"/>
            <w:bottom w:val="none" w:sz="0" w:space="0" w:color="auto"/>
            <w:right w:val="none" w:sz="0" w:space="0" w:color="auto"/>
          </w:divBdr>
        </w:div>
        <w:div w:id="1836190472">
          <w:marLeft w:val="0"/>
          <w:marRight w:val="0"/>
          <w:marTop w:val="0"/>
          <w:marBottom w:val="0"/>
          <w:divBdr>
            <w:top w:val="none" w:sz="0" w:space="0" w:color="auto"/>
            <w:left w:val="none" w:sz="0" w:space="0" w:color="auto"/>
            <w:bottom w:val="none" w:sz="0" w:space="0" w:color="auto"/>
            <w:right w:val="none" w:sz="0" w:space="0" w:color="auto"/>
          </w:divBdr>
        </w:div>
      </w:divsChild>
    </w:div>
    <w:div w:id="1836190461">
      <w:marLeft w:val="0"/>
      <w:marRight w:val="0"/>
      <w:marTop w:val="0"/>
      <w:marBottom w:val="0"/>
      <w:divBdr>
        <w:top w:val="none" w:sz="0" w:space="0" w:color="auto"/>
        <w:left w:val="none" w:sz="0" w:space="0" w:color="auto"/>
        <w:bottom w:val="none" w:sz="0" w:space="0" w:color="auto"/>
        <w:right w:val="none" w:sz="0" w:space="0" w:color="auto"/>
      </w:divBdr>
      <w:divsChild>
        <w:div w:id="1836190460">
          <w:marLeft w:val="0"/>
          <w:marRight w:val="0"/>
          <w:marTop w:val="0"/>
          <w:marBottom w:val="0"/>
          <w:divBdr>
            <w:top w:val="none" w:sz="0" w:space="0" w:color="auto"/>
            <w:left w:val="none" w:sz="0" w:space="0" w:color="auto"/>
            <w:bottom w:val="none" w:sz="0" w:space="0" w:color="auto"/>
            <w:right w:val="none" w:sz="0" w:space="0" w:color="auto"/>
          </w:divBdr>
        </w:div>
        <w:div w:id="1836190462">
          <w:marLeft w:val="0"/>
          <w:marRight w:val="0"/>
          <w:marTop w:val="0"/>
          <w:marBottom w:val="0"/>
          <w:divBdr>
            <w:top w:val="none" w:sz="0" w:space="0" w:color="auto"/>
            <w:left w:val="none" w:sz="0" w:space="0" w:color="auto"/>
            <w:bottom w:val="none" w:sz="0" w:space="0" w:color="auto"/>
            <w:right w:val="none" w:sz="0" w:space="0" w:color="auto"/>
          </w:divBdr>
        </w:div>
        <w:div w:id="1836190467">
          <w:marLeft w:val="0"/>
          <w:marRight w:val="0"/>
          <w:marTop w:val="0"/>
          <w:marBottom w:val="0"/>
          <w:divBdr>
            <w:top w:val="none" w:sz="0" w:space="0" w:color="auto"/>
            <w:left w:val="none" w:sz="0" w:space="0" w:color="auto"/>
            <w:bottom w:val="none" w:sz="0" w:space="0" w:color="auto"/>
            <w:right w:val="none" w:sz="0" w:space="0" w:color="auto"/>
          </w:divBdr>
        </w:div>
        <w:div w:id="1836190468">
          <w:marLeft w:val="0"/>
          <w:marRight w:val="0"/>
          <w:marTop w:val="0"/>
          <w:marBottom w:val="0"/>
          <w:divBdr>
            <w:top w:val="none" w:sz="0" w:space="0" w:color="auto"/>
            <w:left w:val="none" w:sz="0" w:space="0" w:color="auto"/>
            <w:bottom w:val="none" w:sz="0" w:space="0" w:color="auto"/>
            <w:right w:val="none" w:sz="0" w:space="0" w:color="auto"/>
          </w:divBdr>
        </w:div>
        <w:div w:id="1836190478">
          <w:marLeft w:val="0"/>
          <w:marRight w:val="0"/>
          <w:marTop w:val="0"/>
          <w:marBottom w:val="0"/>
          <w:divBdr>
            <w:top w:val="none" w:sz="0" w:space="0" w:color="auto"/>
            <w:left w:val="none" w:sz="0" w:space="0" w:color="auto"/>
            <w:bottom w:val="none" w:sz="0" w:space="0" w:color="auto"/>
            <w:right w:val="none" w:sz="0" w:space="0" w:color="auto"/>
          </w:divBdr>
        </w:div>
        <w:div w:id="1836190481">
          <w:marLeft w:val="0"/>
          <w:marRight w:val="0"/>
          <w:marTop w:val="0"/>
          <w:marBottom w:val="0"/>
          <w:divBdr>
            <w:top w:val="none" w:sz="0" w:space="0" w:color="auto"/>
            <w:left w:val="none" w:sz="0" w:space="0" w:color="auto"/>
            <w:bottom w:val="none" w:sz="0" w:space="0" w:color="auto"/>
            <w:right w:val="none" w:sz="0" w:space="0" w:color="auto"/>
          </w:divBdr>
        </w:div>
        <w:div w:id="1836190487">
          <w:marLeft w:val="0"/>
          <w:marRight w:val="0"/>
          <w:marTop w:val="0"/>
          <w:marBottom w:val="0"/>
          <w:divBdr>
            <w:top w:val="none" w:sz="0" w:space="0" w:color="auto"/>
            <w:left w:val="none" w:sz="0" w:space="0" w:color="auto"/>
            <w:bottom w:val="none" w:sz="0" w:space="0" w:color="auto"/>
            <w:right w:val="none" w:sz="0" w:space="0" w:color="auto"/>
          </w:divBdr>
        </w:div>
      </w:divsChild>
    </w:div>
    <w:div w:id="1836190474">
      <w:marLeft w:val="0"/>
      <w:marRight w:val="0"/>
      <w:marTop w:val="0"/>
      <w:marBottom w:val="0"/>
      <w:divBdr>
        <w:top w:val="none" w:sz="0" w:space="0" w:color="auto"/>
        <w:left w:val="none" w:sz="0" w:space="0" w:color="auto"/>
        <w:bottom w:val="none" w:sz="0" w:space="0" w:color="auto"/>
        <w:right w:val="none" w:sz="0" w:space="0" w:color="auto"/>
      </w:divBdr>
      <w:divsChild>
        <w:div w:id="1836190475">
          <w:marLeft w:val="0"/>
          <w:marRight w:val="0"/>
          <w:marTop w:val="0"/>
          <w:marBottom w:val="0"/>
          <w:divBdr>
            <w:top w:val="none" w:sz="0" w:space="0" w:color="auto"/>
            <w:left w:val="none" w:sz="0" w:space="0" w:color="auto"/>
            <w:bottom w:val="none" w:sz="0" w:space="0" w:color="auto"/>
            <w:right w:val="none" w:sz="0" w:space="0" w:color="auto"/>
          </w:divBdr>
        </w:div>
        <w:div w:id="1836190480">
          <w:marLeft w:val="0"/>
          <w:marRight w:val="0"/>
          <w:marTop w:val="0"/>
          <w:marBottom w:val="0"/>
          <w:divBdr>
            <w:top w:val="none" w:sz="0" w:space="0" w:color="auto"/>
            <w:left w:val="none" w:sz="0" w:space="0" w:color="auto"/>
            <w:bottom w:val="none" w:sz="0" w:space="0" w:color="auto"/>
            <w:right w:val="none" w:sz="0" w:space="0" w:color="auto"/>
          </w:divBdr>
        </w:div>
      </w:divsChild>
    </w:div>
    <w:div w:id="1836190476">
      <w:marLeft w:val="0"/>
      <w:marRight w:val="0"/>
      <w:marTop w:val="0"/>
      <w:marBottom w:val="0"/>
      <w:divBdr>
        <w:top w:val="none" w:sz="0" w:space="0" w:color="auto"/>
        <w:left w:val="none" w:sz="0" w:space="0" w:color="auto"/>
        <w:bottom w:val="none" w:sz="0" w:space="0" w:color="auto"/>
        <w:right w:val="none" w:sz="0" w:space="0" w:color="auto"/>
      </w:divBdr>
      <w:divsChild>
        <w:div w:id="1836190457">
          <w:marLeft w:val="0"/>
          <w:marRight w:val="0"/>
          <w:marTop w:val="0"/>
          <w:marBottom w:val="0"/>
          <w:divBdr>
            <w:top w:val="none" w:sz="0" w:space="0" w:color="auto"/>
            <w:left w:val="none" w:sz="0" w:space="0" w:color="auto"/>
            <w:bottom w:val="none" w:sz="0" w:space="0" w:color="auto"/>
            <w:right w:val="none" w:sz="0" w:space="0" w:color="auto"/>
          </w:divBdr>
        </w:div>
        <w:div w:id="1836190459">
          <w:marLeft w:val="0"/>
          <w:marRight w:val="0"/>
          <w:marTop w:val="0"/>
          <w:marBottom w:val="0"/>
          <w:divBdr>
            <w:top w:val="none" w:sz="0" w:space="0" w:color="auto"/>
            <w:left w:val="none" w:sz="0" w:space="0" w:color="auto"/>
            <w:bottom w:val="none" w:sz="0" w:space="0" w:color="auto"/>
            <w:right w:val="none" w:sz="0" w:space="0" w:color="auto"/>
          </w:divBdr>
        </w:div>
        <w:div w:id="1836190465">
          <w:marLeft w:val="0"/>
          <w:marRight w:val="0"/>
          <w:marTop w:val="0"/>
          <w:marBottom w:val="0"/>
          <w:divBdr>
            <w:top w:val="none" w:sz="0" w:space="0" w:color="auto"/>
            <w:left w:val="none" w:sz="0" w:space="0" w:color="auto"/>
            <w:bottom w:val="none" w:sz="0" w:space="0" w:color="auto"/>
            <w:right w:val="none" w:sz="0" w:space="0" w:color="auto"/>
          </w:divBdr>
        </w:div>
        <w:div w:id="1836190484">
          <w:marLeft w:val="0"/>
          <w:marRight w:val="0"/>
          <w:marTop w:val="0"/>
          <w:marBottom w:val="0"/>
          <w:divBdr>
            <w:top w:val="none" w:sz="0" w:space="0" w:color="auto"/>
            <w:left w:val="none" w:sz="0" w:space="0" w:color="auto"/>
            <w:bottom w:val="none" w:sz="0" w:space="0" w:color="auto"/>
            <w:right w:val="none" w:sz="0" w:space="0" w:color="auto"/>
          </w:divBdr>
        </w:div>
        <w:div w:id="1836190486">
          <w:marLeft w:val="0"/>
          <w:marRight w:val="0"/>
          <w:marTop w:val="0"/>
          <w:marBottom w:val="0"/>
          <w:divBdr>
            <w:top w:val="none" w:sz="0" w:space="0" w:color="auto"/>
            <w:left w:val="none" w:sz="0" w:space="0" w:color="auto"/>
            <w:bottom w:val="none" w:sz="0" w:space="0" w:color="auto"/>
            <w:right w:val="none" w:sz="0" w:space="0" w:color="auto"/>
          </w:divBdr>
        </w:div>
        <w:div w:id="1836190490">
          <w:marLeft w:val="0"/>
          <w:marRight w:val="0"/>
          <w:marTop w:val="0"/>
          <w:marBottom w:val="0"/>
          <w:divBdr>
            <w:top w:val="none" w:sz="0" w:space="0" w:color="auto"/>
            <w:left w:val="none" w:sz="0" w:space="0" w:color="auto"/>
            <w:bottom w:val="none" w:sz="0" w:space="0" w:color="auto"/>
            <w:right w:val="none" w:sz="0" w:space="0" w:color="auto"/>
          </w:divBdr>
        </w:div>
        <w:div w:id="1836190492">
          <w:marLeft w:val="0"/>
          <w:marRight w:val="0"/>
          <w:marTop w:val="0"/>
          <w:marBottom w:val="0"/>
          <w:divBdr>
            <w:top w:val="none" w:sz="0" w:space="0" w:color="auto"/>
            <w:left w:val="none" w:sz="0" w:space="0" w:color="auto"/>
            <w:bottom w:val="none" w:sz="0" w:space="0" w:color="auto"/>
            <w:right w:val="none" w:sz="0" w:space="0" w:color="auto"/>
          </w:divBdr>
        </w:div>
      </w:divsChild>
    </w:div>
    <w:div w:id="1836190488">
      <w:marLeft w:val="0"/>
      <w:marRight w:val="0"/>
      <w:marTop w:val="0"/>
      <w:marBottom w:val="0"/>
      <w:divBdr>
        <w:top w:val="none" w:sz="0" w:space="0" w:color="auto"/>
        <w:left w:val="none" w:sz="0" w:space="0" w:color="auto"/>
        <w:bottom w:val="none" w:sz="0" w:space="0" w:color="auto"/>
        <w:right w:val="none" w:sz="0" w:space="0" w:color="auto"/>
      </w:divBdr>
      <w:divsChild>
        <w:div w:id="1836190454">
          <w:marLeft w:val="0"/>
          <w:marRight w:val="0"/>
          <w:marTop w:val="0"/>
          <w:marBottom w:val="0"/>
          <w:divBdr>
            <w:top w:val="none" w:sz="0" w:space="0" w:color="auto"/>
            <w:left w:val="none" w:sz="0" w:space="0" w:color="auto"/>
            <w:bottom w:val="none" w:sz="0" w:space="0" w:color="auto"/>
            <w:right w:val="none" w:sz="0" w:space="0" w:color="auto"/>
          </w:divBdr>
        </w:div>
        <w:div w:id="1836190466">
          <w:marLeft w:val="0"/>
          <w:marRight w:val="0"/>
          <w:marTop w:val="0"/>
          <w:marBottom w:val="0"/>
          <w:divBdr>
            <w:top w:val="none" w:sz="0" w:space="0" w:color="auto"/>
            <w:left w:val="none" w:sz="0" w:space="0" w:color="auto"/>
            <w:bottom w:val="none" w:sz="0" w:space="0" w:color="auto"/>
            <w:right w:val="none" w:sz="0" w:space="0" w:color="auto"/>
          </w:divBdr>
        </w:div>
        <w:div w:id="1836190469">
          <w:marLeft w:val="0"/>
          <w:marRight w:val="0"/>
          <w:marTop w:val="0"/>
          <w:marBottom w:val="0"/>
          <w:divBdr>
            <w:top w:val="none" w:sz="0" w:space="0" w:color="auto"/>
            <w:left w:val="none" w:sz="0" w:space="0" w:color="auto"/>
            <w:bottom w:val="none" w:sz="0" w:space="0" w:color="auto"/>
            <w:right w:val="none" w:sz="0" w:space="0" w:color="auto"/>
          </w:divBdr>
        </w:div>
        <w:div w:id="1836190485">
          <w:marLeft w:val="0"/>
          <w:marRight w:val="0"/>
          <w:marTop w:val="0"/>
          <w:marBottom w:val="0"/>
          <w:divBdr>
            <w:top w:val="none" w:sz="0" w:space="0" w:color="auto"/>
            <w:left w:val="none" w:sz="0" w:space="0" w:color="auto"/>
            <w:bottom w:val="none" w:sz="0" w:space="0" w:color="auto"/>
            <w:right w:val="none" w:sz="0" w:space="0" w:color="auto"/>
          </w:divBdr>
        </w:div>
        <w:div w:id="1836190489">
          <w:marLeft w:val="0"/>
          <w:marRight w:val="0"/>
          <w:marTop w:val="0"/>
          <w:marBottom w:val="0"/>
          <w:divBdr>
            <w:top w:val="none" w:sz="0" w:space="0" w:color="auto"/>
            <w:left w:val="none" w:sz="0" w:space="0" w:color="auto"/>
            <w:bottom w:val="none" w:sz="0" w:space="0" w:color="auto"/>
            <w:right w:val="none" w:sz="0" w:space="0" w:color="auto"/>
          </w:divBdr>
        </w:div>
      </w:divsChild>
    </w:div>
    <w:div w:id="1836190491">
      <w:marLeft w:val="0"/>
      <w:marRight w:val="0"/>
      <w:marTop w:val="0"/>
      <w:marBottom w:val="0"/>
      <w:divBdr>
        <w:top w:val="none" w:sz="0" w:space="0" w:color="auto"/>
        <w:left w:val="none" w:sz="0" w:space="0" w:color="auto"/>
        <w:bottom w:val="none" w:sz="0" w:space="0" w:color="auto"/>
        <w:right w:val="none" w:sz="0" w:space="0" w:color="auto"/>
      </w:divBdr>
      <w:divsChild>
        <w:div w:id="1836190455">
          <w:marLeft w:val="0"/>
          <w:marRight w:val="0"/>
          <w:marTop w:val="0"/>
          <w:marBottom w:val="0"/>
          <w:divBdr>
            <w:top w:val="none" w:sz="0" w:space="0" w:color="auto"/>
            <w:left w:val="none" w:sz="0" w:space="0" w:color="auto"/>
            <w:bottom w:val="none" w:sz="0" w:space="0" w:color="auto"/>
            <w:right w:val="none" w:sz="0" w:space="0" w:color="auto"/>
          </w:divBdr>
        </w:div>
        <w:div w:id="1836190458">
          <w:marLeft w:val="0"/>
          <w:marRight w:val="0"/>
          <w:marTop w:val="0"/>
          <w:marBottom w:val="0"/>
          <w:divBdr>
            <w:top w:val="none" w:sz="0" w:space="0" w:color="auto"/>
            <w:left w:val="none" w:sz="0" w:space="0" w:color="auto"/>
            <w:bottom w:val="none" w:sz="0" w:space="0" w:color="auto"/>
            <w:right w:val="none" w:sz="0" w:space="0" w:color="auto"/>
          </w:divBdr>
        </w:div>
        <w:div w:id="1836190463">
          <w:marLeft w:val="0"/>
          <w:marRight w:val="0"/>
          <w:marTop w:val="0"/>
          <w:marBottom w:val="0"/>
          <w:divBdr>
            <w:top w:val="none" w:sz="0" w:space="0" w:color="auto"/>
            <w:left w:val="none" w:sz="0" w:space="0" w:color="auto"/>
            <w:bottom w:val="none" w:sz="0" w:space="0" w:color="auto"/>
            <w:right w:val="none" w:sz="0" w:space="0" w:color="auto"/>
          </w:divBdr>
        </w:div>
        <w:div w:id="1836190470">
          <w:marLeft w:val="0"/>
          <w:marRight w:val="0"/>
          <w:marTop w:val="0"/>
          <w:marBottom w:val="0"/>
          <w:divBdr>
            <w:top w:val="none" w:sz="0" w:space="0" w:color="auto"/>
            <w:left w:val="none" w:sz="0" w:space="0" w:color="auto"/>
            <w:bottom w:val="none" w:sz="0" w:space="0" w:color="auto"/>
            <w:right w:val="none" w:sz="0" w:space="0" w:color="auto"/>
          </w:divBdr>
        </w:div>
        <w:div w:id="1836190471">
          <w:marLeft w:val="0"/>
          <w:marRight w:val="0"/>
          <w:marTop w:val="0"/>
          <w:marBottom w:val="0"/>
          <w:divBdr>
            <w:top w:val="none" w:sz="0" w:space="0" w:color="auto"/>
            <w:left w:val="none" w:sz="0" w:space="0" w:color="auto"/>
            <w:bottom w:val="none" w:sz="0" w:space="0" w:color="auto"/>
            <w:right w:val="none" w:sz="0" w:space="0" w:color="auto"/>
          </w:divBdr>
        </w:div>
        <w:div w:id="1836190473">
          <w:marLeft w:val="0"/>
          <w:marRight w:val="0"/>
          <w:marTop w:val="0"/>
          <w:marBottom w:val="0"/>
          <w:divBdr>
            <w:top w:val="none" w:sz="0" w:space="0" w:color="auto"/>
            <w:left w:val="none" w:sz="0" w:space="0" w:color="auto"/>
            <w:bottom w:val="none" w:sz="0" w:space="0" w:color="auto"/>
            <w:right w:val="none" w:sz="0" w:space="0" w:color="auto"/>
          </w:divBdr>
        </w:div>
        <w:div w:id="1836190477">
          <w:marLeft w:val="0"/>
          <w:marRight w:val="0"/>
          <w:marTop w:val="0"/>
          <w:marBottom w:val="0"/>
          <w:divBdr>
            <w:top w:val="none" w:sz="0" w:space="0" w:color="auto"/>
            <w:left w:val="none" w:sz="0" w:space="0" w:color="auto"/>
            <w:bottom w:val="none" w:sz="0" w:space="0" w:color="auto"/>
            <w:right w:val="none" w:sz="0" w:space="0" w:color="auto"/>
          </w:divBdr>
        </w:div>
        <w:div w:id="1836190479">
          <w:marLeft w:val="0"/>
          <w:marRight w:val="0"/>
          <w:marTop w:val="0"/>
          <w:marBottom w:val="0"/>
          <w:divBdr>
            <w:top w:val="none" w:sz="0" w:space="0" w:color="auto"/>
            <w:left w:val="none" w:sz="0" w:space="0" w:color="auto"/>
            <w:bottom w:val="none" w:sz="0" w:space="0" w:color="auto"/>
            <w:right w:val="none" w:sz="0" w:space="0" w:color="auto"/>
          </w:divBdr>
        </w:div>
        <w:div w:id="1836190482">
          <w:marLeft w:val="0"/>
          <w:marRight w:val="0"/>
          <w:marTop w:val="0"/>
          <w:marBottom w:val="0"/>
          <w:divBdr>
            <w:top w:val="none" w:sz="0" w:space="0" w:color="auto"/>
            <w:left w:val="none" w:sz="0" w:space="0" w:color="auto"/>
            <w:bottom w:val="none" w:sz="0" w:space="0" w:color="auto"/>
            <w:right w:val="none" w:sz="0" w:space="0" w:color="auto"/>
          </w:divBdr>
        </w:div>
        <w:div w:id="183619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Karina</cp:lastModifiedBy>
  <cp:revision>2</cp:revision>
  <cp:lastPrinted>2018-01-23T17:28:00Z</cp:lastPrinted>
  <dcterms:created xsi:type="dcterms:W3CDTF">2019-02-06T06:46:00Z</dcterms:created>
  <dcterms:modified xsi:type="dcterms:W3CDTF">2019-02-06T06:46:00Z</dcterms:modified>
</cp:coreProperties>
</file>