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D" w:rsidRDefault="009374CD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9374CD" w:rsidRDefault="009374CD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9374CD" w:rsidRDefault="009374CD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9374CD" w:rsidRDefault="009374CD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ccupational Risk Assessment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54EF5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9374CD" w:rsidRPr="00354EF5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</w:rPr>
              <w:t>IDISSO6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III (VI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9374CD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9374CD" w:rsidRPr="00333BFC" w:rsidRDefault="009374C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Prof.,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MORARU Roland</w:t>
            </w:r>
          </w:p>
        </w:tc>
      </w:tr>
    </w:tbl>
    <w:p w:rsidR="009374CD" w:rsidRDefault="009374CD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9374CD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9374CD" w:rsidRPr="00333BFC" w:rsidRDefault="009374CD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9374CD" w:rsidRPr="00333BFC" w:rsidRDefault="009374CD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Physical/Energy Hazards (mechanical, noise, radiation, temperature, light, structure</w:t>
            </w:r>
            <w:r>
              <w:rPr>
                <w:rFonts w:ascii="Times New Roman" w:hAnsi="Times New Roman"/>
                <w:sz w:val="24"/>
                <w:szCs w:val="24"/>
              </w:rPr>
              <w:t>s, electrical, fire, explosion</w:t>
            </w:r>
            <w:r w:rsidRPr="008B4E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Physical Hazards prevention and control - Noise, vibration, temperature, radiation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prevention measures and strat</w:t>
            </w:r>
            <w:r w:rsidRPr="008B4E09">
              <w:rPr>
                <w:rFonts w:ascii="Times New Roman" w:hAnsi="Times New Roman"/>
                <w:sz w:val="24"/>
                <w:szCs w:val="24"/>
              </w:rPr>
              <w:t>egies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Chemical Hazards (vapors, m</w:t>
            </w:r>
            <w:r>
              <w:rPr>
                <w:rFonts w:ascii="Times New Roman" w:hAnsi="Times New Roman"/>
                <w:sz w:val="24"/>
                <w:szCs w:val="24"/>
              </w:rPr>
              <w:t>ists, solids, fumes, aerosols)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Biological Hazards (fungi, molds, virus, bacteria, animals)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Occupational Exposure Limits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Indoor Air Quality: preventive measures, diagnosis and control.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Safety/Risk Management, Performance Metrics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Stress and other psychosocial risks: occupational harassment, sexual harassment, burnout, physical violence.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E09">
              <w:rPr>
                <w:rFonts w:ascii="Times New Roman" w:hAnsi="Times New Roman"/>
                <w:sz w:val="24"/>
                <w:szCs w:val="24"/>
              </w:rPr>
              <w:t xml:space="preserve">Consequences. Legal aspects of psychosocial risks: the situation in </w:t>
            </w:r>
            <w:smartTag w:uri="urn:schemas-microsoft-com:office:smarttags" w:element="country-region">
              <w:r w:rsidRPr="008B4E09">
                <w:rPr>
                  <w:rFonts w:ascii="Times New Roman" w:hAnsi="Times New Roman"/>
                  <w:sz w:val="24"/>
                  <w:szCs w:val="24"/>
                </w:rPr>
                <w:t>Romania</w:t>
              </w:r>
            </w:smartTag>
            <w:r w:rsidRPr="008B4E0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smartTag w:uri="urn:schemas-microsoft-com:office:smarttags" w:element="place">
              <w:r w:rsidRPr="008B4E09">
                <w:rPr>
                  <w:rFonts w:ascii="Times New Roman" w:hAnsi="Times New Roman"/>
                  <w:sz w:val="24"/>
                  <w:szCs w:val="24"/>
                </w:rPr>
                <w:t>Europe</w:t>
              </w:r>
            </w:smartTag>
            <w:r w:rsidRPr="008B4E09">
              <w:rPr>
                <w:rFonts w:ascii="Times New Roman" w:hAnsi="Times New Roman"/>
                <w:sz w:val="24"/>
                <w:szCs w:val="24"/>
              </w:rPr>
              <w:t>. Legislation regarding the different forms of harassment. Protection against harassment.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B4E0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Psychosocial management. Detection of situations of risk. Common principles of psychosocial intervention. Levels of intervention.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Good practic</w:t>
            </w:r>
            <w:r w:rsidRPr="008B4E0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es regarding occupational stress. Psychosocial and environmental factors. In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tervention regarding the organiz</w:t>
            </w:r>
            <w:r w:rsidRPr="008B4E0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ation of work and the individual. Specific psychosocial intervention.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B4E0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Hazards and preventive measures in specific sectors: mining and automotive sector.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Musculoskeletal disorders: Overstraining and fatigue. Factors and pathologies. More vulnerable groups. Costs and strategies. Risk assessment and preventive measures.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Confined spaces. Applicable legislation, case studies.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B4E0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Coordination of health and safety at construction sites. Working at heights. Applicable legislation.</w:t>
            </w:r>
          </w:p>
        </w:tc>
      </w:tr>
      <w:tr w:rsidR="009374C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374CD" w:rsidRPr="00333BFC" w:rsidRDefault="009374CD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374CD" w:rsidRPr="008B4E09" w:rsidRDefault="009374CD" w:rsidP="008B4E09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B4E09">
              <w:rPr>
                <w:rFonts w:ascii="Times New Roman" w:hAnsi="Times New Roman"/>
                <w:sz w:val="24"/>
                <w:szCs w:val="24"/>
              </w:rPr>
              <w:t>Financial  and Business Aspects of Occupational Health</w:t>
            </w:r>
          </w:p>
        </w:tc>
      </w:tr>
    </w:tbl>
    <w:p w:rsidR="009374CD" w:rsidRPr="00B812C5" w:rsidRDefault="009374CD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  <w:bookmarkStart w:id="0" w:name="_GoBack"/>
      <w:bookmarkEnd w:id="0"/>
    </w:p>
    <w:sectPr w:rsidR="009374CD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45" w:rsidRDefault="006B3E45" w:rsidP="00846F41">
      <w:pPr>
        <w:spacing w:after="0" w:line="240" w:lineRule="auto"/>
      </w:pPr>
      <w:r>
        <w:separator/>
      </w:r>
    </w:p>
  </w:endnote>
  <w:endnote w:type="continuationSeparator" w:id="1">
    <w:p w:rsidR="006B3E45" w:rsidRDefault="006B3E4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CD" w:rsidRDefault="006623C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45" w:rsidRDefault="006B3E45" w:rsidP="00846F41">
      <w:pPr>
        <w:spacing w:after="0" w:line="240" w:lineRule="auto"/>
      </w:pPr>
      <w:r>
        <w:separator/>
      </w:r>
    </w:p>
  </w:footnote>
  <w:footnote w:type="continuationSeparator" w:id="1">
    <w:p w:rsidR="006B3E45" w:rsidRDefault="006B3E4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CD" w:rsidRDefault="006623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1844A1"/>
    <w:rsid w:val="001934BE"/>
    <w:rsid w:val="001E3582"/>
    <w:rsid w:val="00325132"/>
    <w:rsid w:val="00333BFC"/>
    <w:rsid w:val="00354EF5"/>
    <w:rsid w:val="00394EED"/>
    <w:rsid w:val="00396012"/>
    <w:rsid w:val="00476F9C"/>
    <w:rsid w:val="00485DEC"/>
    <w:rsid w:val="004D6C15"/>
    <w:rsid w:val="00507E0B"/>
    <w:rsid w:val="00562110"/>
    <w:rsid w:val="005654C5"/>
    <w:rsid w:val="005B2D6A"/>
    <w:rsid w:val="005C5B8C"/>
    <w:rsid w:val="0061137D"/>
    <w:rsid w:val="0061284C"/>
    <w:rsid w:val="00623A40"/>
    <w:rsid w:val="0065339F"/>
    <w:rsid w:val="006623C2"/>
    <w:rsid w:val="006B3E45"/>
    <w:rsid w:val="006C2C47"/>
    <w:rsid w:val="0075270C"/>
    <w:rsid w:val="007F77A9"/>
    <w:rsid w:val="00846F41"/>
    <w:rsid w:val="008B4A0E"/>
    <w:rsid w:val="008B4E09"/>
    <w:rsid w:val="0090786B"/>
    <w:rsid w:val="00917D40"/>
    <w:rsid w:val="009374CD"/>
    <w:rsid w:val="00956E2B"/>
    <w:rsid w:val="009E0263"/>
    <w:rsid w:val="009E6B7D"/>
    <w:rsid w:val="00A4288D"/>
    <w:rsid w:val="00A430E4"/>
    <w:rsid w:val="00A856D4"/>
    <w:rsid w:val="00B03293"/>
    <w:rsid w:val="00B6677C"/>
    <w:rsid w:val="00B812C5"/>
    <w:rsid w:val="00B942D3"/>
    <w:rsid w:val="00BC5E5F"/>
    <w:rsid w:val="00BD002B"/>
    <w:rsid w:val="00C63F05"/>
    <w:rsid w:val="00C974D4"/>
    <w:rsid w:val="00CA2521"/>
    <w:rsid w:val="00CA4C4D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EA47CF"/>
    <w:rsid w:val="00EB2399"/>
    <w:rsid w:val="00EB4DFA"/>
    <w:rsid w:val="00EC70EF"/>
    <w:rsid w:val="00F36E31"/>
    <w:rsid w:val="00F856FF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2019-02-06T06:47:00Z</dcterms:created>
  <dcterms:modified xsi:type="dcterms:W3CDTF">2019-02-06T06:47:00Z</dcterms:modified>
</cp:coreProperties>
</file>